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0" w:after="0"/>
        <w:ind w:left="0" w:right="0" w:firstLine="540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540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ind w:left="284" w:right="0" w:hanging="0"/>
        <w:outlineLvl w:val="0"/>
        <w:rPr>
          <w:rFonts w:eastAsia="Times New Roman" w:cs="Calibri"/>
          <w:bCs/>
          <w:sz w:val="24"/>
          <w:szCs w:val="24"/>
          <w:lang w:eastAsia="ar-SA"/>
        </w:rPr>
      </w:pPr>
      <w:r>
        <w:rPr>
          <w:rFonts w:eastAsia="Times New Roman" w:cs="Calibri"/>
          <w:bCs/>
          <w:sz w:val="24"/>
          <w:szCs w:val="24"/>
          <w:lang w:eastAsia="ar-SA"/>
        </w:rPr>
        <w:t xml:space="preserve">                                                             </w:t>
      </w:r>
      <w:r>
        <w:rPr>
          <w:rFonts w:eastAsia="Times New Roman" w:cs="Calibri"/>
          <w:bCs/>
          <w:sz w:val="24"/>
          <w:szCs w:val="24"/>
          <w:lang w:eastAsia="ar-SA"/>
        </w:rPr>
        <w:drawing>
          <wp:inline distT="0" distB="0" distL="0" distR="0">
            <wp:extent cx="1326515" cy="1144905"/>
            <wp:effectExtent l="0" t="0" r="0" b="0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114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>Российская Федерация</w:t>
      </w:r>
    </w:p>
    <w:p>
      <w:pPr>
        <w:pStyle w:val="Normal"/>
        <w:keepNext/>
        <w:tabs>
          <w:tab w:val="left" w:pos="0" w:leader="none"/>
        </w:tabs>
        <w:suppressAutoHyphens w:val="true"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ar-SA"/>
        </w:rPr>
        <w:t>Самарская область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СОБРАНИЕ ПРЕДСТАВИТЕЛЕЙ СЕЛЬСКОГО ПОСЕЛЕНИЯ ЛУНАЧАРСКИЙ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МУНИЦИПАЛЬНОГО РАЙОНА СТАВРОПОЛЬСКИЙ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САМАРСКОЙ ОБЛАСТИ</w:t>
      </w:r>
    </w:p>
    <w:p>
      <w:pPr>
        <w:pStyle w:val="Normal"/>
        <w:suppressAutoHyphens w:val="true"/>
        <w:spacing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 xml:space="preserve"> 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 xml:space="preserve">ПРОЕКТ 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РЕШЕНИ</w:t>
      </w: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>Я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</w:t>
      </w:r>
    </w:p>
    <w:p>
      <w:pPr>
        <w:pStyle w:val="Normal"/>
        <w:spacing w:before="0" w:after="0"/>
        <w:ind w:left="0" w:right="0" w:firstLine="540"/>
        <w:jc w:val="both"/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О внесении изменений в Порядок организации и проведения публичных слушаний в сельском поселении Луначарский муниципального района Ставропольский Самарской области, утвержденный Решением собрания представителей сельского поселения Луначарский муниципального района Ставропольский Самарской области № 62 от 05 марта 2010 года.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 местного самоуправления в РФ» от 06.10.2003 № 131-ФЗ, руководствуясь Уставом сельского поселения Луначарский муниципального района Ставропольский Самарской области, учитывая протест прокурора Ставропольского района от 25.01.2018 г. № 07-17-2018, Собрание представителей сельского поселения Луначарский муниципального района Ставропольский Самарской области решило: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ind w:left="0" w:right="0" w:hanging="36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Внести в Порядок организации  и проведения публичных слушаний в сельском поселении Луначарский муниципального района Ставропольский, утвержденный решением Собрания представителей сельского поселения Луначарский муниципального района Ставропольский Самарской области от 05 марта 2010 года № 62, следующие изменения:</w:t>
      </w:r>
    </w:p>
    <w:p>
      <w:pPr>
        <w:pStyle w:val="ListParagraph"/>
        <w:spacing w:before="0" w:after="0"/>
        <w:ind w:left="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spacing w:before="0" w:after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1.4. Порядка изложить в следующей редакции:</w:t>
      </w:r>
    </w:p>
    <w:p>
      <w:pPr>
        <w:pStyle w:val="ListParagraph"/>
        <w:spacing w:before="0" w:after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bookmarkStart w:id="0" w:name="Par3"/>
      <w:bookmarkEnd w:id="0"/>
      <w:r>
        <w:rPr>
          <w:rFonts w:cs="Times New Roman" w:ascii="Times New Roman" w:hAnsi="Times New Roman"/>
          <w:sz w:val="24"/>
          <w:szCs w:val="24"/>
        </w:rPr>
        <w:t>На публичные слушания должны выноситься: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3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Конституции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Российской Федерации, Федеральных законов, конституции 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проект местного бюджета и отчет о его исполнении;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проект стратегии социально-экономического развития сельского поселения;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4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статьей 13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 в порядке, установленном соответствующим решением представительного органа или публичные слушания, порядок организации и проведения которых определяется в соответствии                                  с пунктом 11 Порядка, утвержденного Решением Собрания представителей № 70 от         11 октября 2013 года «О внесении изменений в Порядок организации и проведения публичных слушаний в сельском поселении Луначарский муниципального района Ставропольский Самарской области, с учетом положений законодательства о градостроительной деятельности РФ».</w:t>
      </w:r>
    </w:p>
    <w:p>
      <w:pPr>
        <w:pStyle w:val="Normal"/>
        <w:spacing w:before="240" w:after="0"/>
        <w:ind w:left="0" w:right="0" w:firstLine="539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1.5  Порядка исключить;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1"/>
        </w:numPr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 1.9. Порядка изложить в следующей редакции: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«В публичных слушаниях участвуют жители сельского поселения». 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Пункт 1.10 Порядка добавить пунктом 6 следующего содержания: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before="0" w:after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Пункт 11.1 раздела 11 Порядка дополнить вторым абзацем следующего содержания: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5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частью 3 статьи 39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Пункт 11.2. добавить абзацем вторым следующего содержания:</w:t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«Процедура проведения публичных слушаний состоит из следующих этапов: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оповещение о начале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проведение собрания или собраний участников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подготовка и оформление протокола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11.3 добавить пунктом 6 следующего содержания:</w:t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«6)  по проектам правил благоустройства  территории – один месяц»;</w:t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11.6. изложить в следующей редакции:</w:t>
      </w:r>
    </w:p>
    <w:p>
      <w:pPr>
        <w:pStyle w:val="ListParagraph"/>
        <w:spacing w:before="0" w:after="0"/>
        <w:ind w:left="108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ind w:left="0" w:right="0" w:hanging="0"/>
        <w:contextualSpacing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</w:t>
      </w:r>
      <w:r>
        <w:rPr>
          <w:rFonts w:cs="Times New Roman" w:ascii="Times New Roman" w:hAnsi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2. Оповещение о начале публичных слушаний должно содержать: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Оповещение о начале публичных слушаний: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2) распространяется на информационных стендах, оборудованных около здания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6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части 3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 статьи 5.1. Градостроительного кодекса РФ (далее - территория, в пределах которой проводятся  публичные слушания), иными способами, обеспечивающими доступ участников  публичных слушаний к указанной информации.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В течение всего периода размещения проекта, подлежащего рассмотрению на публичных слушаниях, и информационных материалов к нему на официальном сайте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публичных слушаниях. Консультирование посетителей экспозиции осуществляется представителями уполномоченного на проведение  публичных слушаний органа местного самоуправления или созданного им коллегиального совещательного органа (далее - организатор публичных слушаний) и (или) разработчика проекта, подлежащего рассмотрению на публичных слушаниях.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период размещения проекта, подлежащего рассмотрению на публичных слушаниях, и информационных материалов к нему на официальном сайте и проведения экспозиции или экспозиций такого проекта участники публичных слушаний, прошедшие идентификацию, имеют право вносить предложения и замечания, касающиеся такого проекта: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в письменной форме в адрес организатора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посредством записи в книге (журнале) учета посетителей экспозиции проекта, подлежащего рассмотрению на  публичных слушаниях.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>
      <w:pPr>
        <w:pStyle w:val="Normal"/>
        <w:spacing w:before="240" w:after="0"/>
        <w:ind w:left="0" w:right="0" w:firstLine="36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7. Обработка персональных данных участников публичных слушаний осуществляется                с учетом требований, установленных Федеральным </w:t>
      </w:r>
      <w:hyperlink r:id="rId7">
        <w:r>
          <w:rPr>
            <w:rStyle w:val="Style14"/>
            <w:rFonts w:cs="Times New Roman" w:ascii="Times New Roman" w:hAnsi="Times New Roman"/>
            <w:color w:val="00000A"/>
            <w:sz w:val="24"/>
            <w:szCs w:val="24"/>
            <w:u w:val="none"/>
          </w:rPr>
          <w:t>законом</w:t>
        </w:r>
      </w:hyperlink>
      <w:r>
        <w:rPr>
          <w:rFonts w:cs="Times New Roman" w:ascii="Times New Roman" w:hAnsi="Times New Roman"/>
          <w:sz w:val="24"/>
          <w:szCs w:val="24"/>
        </w:rPr>
        <w:t xml:space="preserve"> от 27 июля 2006 года N 152-ФЗ "О персональных данных". 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8. 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Пункт 11.9 изложить в следующей редакции: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слушаний.  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Раздел 11 Порядка дополнить пунктом 11.11 следующей редакции: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«1.Организатор публичных слушаний подготавливает и оформляет протокол  публичных слушаний, в котором указываются: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дата оформления протокола 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информация об организаторе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информация, содержащаяся в опубликованном оповещении о начале публичных слушаний, дата и источник его опубликования;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информация о сроке, в течение которого принимались предложения и замечания участников  публичных слушаний, о территории, в пределах которой проводятся  публичные слушания;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все предложения и замечания участников  публичных слушаний с разделением на 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слушания, и предложения и за</w:t>
      </w:r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  <w:t>мечания иных участников публичных слушаний.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К протоколу публичных слушаний прилагается перечень принявших участие в рассмотрении проекта участников  публичных слушаний, включающий в себя сведения об участниках 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На основании протокола публичных слушаний организатор публичных слушаний осуществляет подготовку заключения о результатах публичных слушаний.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 В заключении о результатах публичных слушаний должны быть указаны: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дата оформления заключения о результатах 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наименование проекта, рассмотренного на публичных слушаниях, сведения о количестве участников  публичных слушаний, которые приняли участие в публичных слушаниях;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реквизиты протокола  публичных слушаний, на основании которого подготовлено заключение о результатах  публичных слушаний;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содержание внесенных предложений и замечаний участников публичных слушаний с разделением на предложения и замечания граждан, являющихся участниками  публичных слушаний и постоянно проживающих на территории, в пределах которой проводятся  публичные слушания, и предложения и замечания иных участников  публичных слушаний. В случае внесения несколькими участниками публичных слушаний одинаковых предложений и замечаний допускается обобщение таких предложений и замечаний;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5) 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слушаний.</w:t>
      </w:r>
    </w:p>
    <w:p>
      <w:pPr>
        <w:pStyle w:val="Normal"/>
        <w:spacing w:before="24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 Заключение о результатах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системах».</w:t>
      </w:r>
    </w:p>
    <w:p>
      <w:pPr>
        <w:pStyle w:val="Normal"/>
        <w:spacing w:before="0" w:after="0"/>
        <w:ind w:left="0" w:right="0" w:firstLine="54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jc w:val="both"/>
        <w:rPr>
          <w:rFonts w:cs="Times New Roman" w:ascii="Times New Roman" w:hAnsi="Times New Roman"/>
          <w:sz w:val="24"/>
          <w:szCs w:val="24"/>
          <w:u w:val="single"/>
          <w:lang w:eastAsia="en-US"/>
        </w:rPr>
      </w:pPr>
      <w:r>
        <w:rPr>
          <w:rFonts w:cs="Times New Roman" w:ascii="Times New Roman" w:hAnsi="Times New Roman"/>
          <w:sz w:val="24"/>
          <w:szCs w:val="24"/>
        </w:rPr>
        <w:t>Настоящее решение подлежит официальному опубликованию в газете «Луначарский-Вестник» и на официальном сайте администрации сельского поселения Луначарский в сети Интернет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 xml:space="preserve"> 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htt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://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lunacharsky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stavrsp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.</w:t>
      </w:r>
      <w:r>
        <w:rPr>
          <w:rFonts w:cs="Times New Roman" w:ascii="Times New Roman" w:hAnsi="Times New Roman"/>
          <w:sz w:val="24"/>
          <w:szCs w:val="24"/>
          <w:u w:val="single"/>
          <w:lang w:val="en-US" w:eastAsia="en-US"/>
        </w:rPr>
        <w:t>ru</w:t>
      </w:r>
      <w:r>
        <w:rPr>
          <w:rFonts w:cs="Times New Roman" w:ascii="Times New Roman" w:hAnsi="Times New Roman"/>
          <w:sz w:val="24"/>
          <w:szCs w:val="24"/>
          <w:u w:val="single"/>
          <w:lang w:eastAsia="en-US"/>
        </w:rPr>
        <w:t>.</w:t>
      </w:r>
    </w:p>
    <w:p>
      <w:pPr>
        <w:pStyle w:val="Normal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Председатель собрания представителей</w:t>
      </w:r>
    </w:p>
    <w:p>
      <w:pPr>
        <w:pStyle w:val="ListParagraph"/>
        <w:spacing w:lineRule="auto" w:line="240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Луначарский</w:t>
      </w:r>
    </w:p>
    <w:p>
      <w:pPr>
        <w:pStyle w:val="ListParagraph"/>
        <w:spacing w:lineRule="auto" w:line="240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ListParagraph"/>
        <w:spacing w:lineRule="auto" w:line="240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    А.В. Наумов</w:t>
      </w:r>
    </w:p>
    <w:p>
      <w:pPr>
        <w:pStyle w:val="ListParagraph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ind w:left="360" w:right="0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Глава сельского поселения Луначарский</w:t>
      </w:r>
    </w:p>
    <w:p>
      <w:pPr>
        <w:pStyle w:val="Normal"/>
        <w:spacing w:lineRule="auto" w:line="240"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rmal"/>
        <w:spacing w:lineRule="auto" w:line="240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Самарской области                                                                                   Т.А. Шульга</w:t>
      </w:r>
    </w:p>
    <w:p>
      <w:pPr>
        <w:pStyle w:val="Normal"/>
        <w:jc w:val="center"/>
        <w:rPr/>
      </w:pPr>
      <w:r>
        <w:rPr/>
      </w:r>
    </w:p>
    <w:sectPr>
      <w:type w:val="nextPage"/>
      <w:pgSz w:w="11906" w:h="16838"/>
      <w:pgMar w:left="1701" w:right="850" w:header="0" w:top="426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800" w:hanging="720"/>
      </w:pPr>
    </w:lvl>
    <w:lvl w:ilvl="3">
      <w:start w:val="1"/>
      <w:numFmt w:val="decimal"/>
      <w:lvlText w:val="%4"/>
      <w:lvlJc w:val="left"/>
      <w:pPr>
        <w:ind w:left="2160" w:hanging="720"/>
      </w:pPr>
    </w:lvl>
    <w:lvl w:ilvl="4">
      <w:start w:val="1"/>
      <w:numFmt w:val="decimal"/>
      <w:lvlText w:val="%5"/>
      <w:lvlJc w:val="left"/>
      <w:pPr>
        <w:ind w:left="2880" w:hanging="1080"/>
      </w:pPr>
    </w:lvl>
    <w:lvl w:ilvl="5">
      <w:start w:val="1"/>
      <w:numFmt w:val="decimal"/>
      <w:lvlText w:val="%6"/>
      <w:lvlJc w:val="left"/>
      <w:pPr>
        <w:ind w:left="3240" w:hanging="1080"/>
      </w:pPr>
    </w:lvl>
    <w:lvl w:ilvl="6">
      <w:start w:val="1"/>
      <w:numFmt w:val="decimal"/>
      <w:lvlText w:val="%7"/>
      <w:lvlJc w:val="left"/>
      <w:pPr>
        <w:ind w:left="3960" w:hanging="1440"/>
      </w:pPr>
    </w:lvl>
    <w:lvl w:ilvl="7">
      <w:start w:val="1"/>
      <w:numFmt w:val="decimal"/>
      <w:lvlText w:val="%8"/>
      <w:lvlJc w:val="left"/>
      <w:pPr>
        <w:ind w:left="4320" w:hanging="1440"/>
      </w:pPr>
    </w:lvl>
    <w:lvl w:ilvl="8">
      <w:start w:val="1"/>
      <w:numFmt w:val="decimal"/>
      <w:lvlText w:val="%9"/>
      <w:lvlJc w:val="left"/>
      <w:pPr>
        <w:ind w:left="5040" w:hanging="1800"/>
      </w:pPr>
    </w:lvl>
  </w:abstractNum>
  <w:abstractNum w:abstractNumId="2">
    <w:lvl w:ilvl="0">
      <w:start w:val="1"/>
      <w:numFmt w:val="decimal"/>
      <w:lvlText w:val=""/>
      <w:lvlJc w:val="left"/>
      <w:pPr>
        <w:ind w:left="360" w:hanging="360"/>
      </w:pPr>
    </w:lvl>
    <w:lvl w:ilvl="1">
      <w:start w:val="5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2160" w:hanging="720"/>
      </w:pPr>
    </w:lvl>
    <w:lvl w:ilvl="3">
      <w:start w:val="1"/>
      <w:numFmt w:val="decimal"/>
      <w:lvlText w:val="%4"/>
      <w:lvlJc w:val="left"/>
      <w:pPr>
        <w:ind w:left="2880" w:hanging="720"/>
      </w:pPr>
    </w:lvl>
    <w:lvl w:ilvl="4">
      <w:start w:val="1"/>
      <w:numFmt w:val="decimal"/>
      <w:lvlText w:val="%5"/>
      <w:lvlJc w:val="left"/>
      <w:pPr>
        <w:ind w:left="3960" w:hanging="1080"/>
      </w:pPr>
    </w:lvl>
    <w:lvl w:ilvl="5">
      <w:start w:val="1"/>
      <w:numFmt w:val="decimal"/>
      <w:lvlText w:val="%6"/>
      <w:lvlJc w:val="left"/>
      <w:pPr>
        <w:ind w:left="4680" w:hanging="1080"/>
      </w:pPr>
    </w:lvl>
    <w:lvl w:ilvl="6">
      <w:start w:val="1"/>
      <w:numFmt w:val="decimal"/>
      <w:lvlText w:val="%7"/>
      <w:lvlJc w:val="left"/>
      <w:pPr>
        <w:ind w:left="5760" w:hanging="1440"/>
      </w:pPr>
    </w:lvl>
    <w:lvl w:ilvl="7">
      <w:start w:val="1"/>
      <w:numFmt w:val="decimal"/>
      <w:lvlText w:val="%8"/>
      <w:lvlJc w:val="left"/>
      <w:pPr>
        <w:ind w:left="6480" w:hanging="1440"/>
      </w:pPr>
    </w:lvl>
    <w:lvl w:ilvl="8">
      <w:start w:val="1"/>
      <w:numFmt w:val="decimal"/>
      <w:lvlText w:val="%9"/>
      <w:lvlJc w:val="left"/>
      <w:pPr>
        <w:ind w:left="7560" w:hanging="180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56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b345e5"/>
    <w:pPr>
      <w:widowControl/>
      <w:suppressAutoHyphens w:val="true"/>
      <w:bidi w:val="0"/>
      <w:spacing w:lineRule="auto" w:line="276" w:before="0" w:after="200"/>
      <w:jc w:val="left"/>
    </w:pPr>
    <w:rPr>
      <w:rFonts w:cs="" w:ascii="Calibri" w:hAnsi="Calibri" w:eastAsia="Arial Unicode MS"/>
      <w:color w:val="auto"/>
      <w:sz w:val="22"/>
      <w:szCs w:val="22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>
    <w:name w:val="Интернет-ссылка"/>
    <w:uiPriority w:val="99"/>
    <w:semiHidden/>
    <w:unhideWhenUsed/>
    <w:rsid w:val="00b345e5"/>
    <w:basedOn w:val="DefaultParagraphFont"/>
    <w:rPr>
      <w:color w:val="0000FF"/>
      <w:u w:val="single"/>
      <w:lang w:val="zxx" w:eastAsia="zxx" w:bidi="zxx"/>
    </w:rPr>
  </w:style>
  <w:style w:type="character" w:styleId="Style15" w:customStyle="1">
    <w:name w:val="Текст выноски Знак"/>
    <w:uiPriority w:val="99"/>
    <w:semiHidden/>
    <w:link w:val="a5"/>
    <w:rsid w:val="00c74515"/>
    <w:basedOn w:val="DefaultParagraphFont"/>
    <w:rPr>
      <w:rFonts w:ascii="Tahoma" w:hAnsi="Tahoma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ListParagraph">
    <w:name w:val="List Paragraph"/>
    <w:uiPriority w:val="34"/>
    <w:qFormat/>
    <w:rsid w:val="00b345e5"/>
    <w:basedOn w:val="Normal"/>
    <w:pPr>
      <w:spacing w:before="0" w:after="200"/>
      <w:ind w:left="720" w:right="0" w:hanging="0"/>
      <w:contextualSpacing/>
    </w:pPr>
    <w:rPr/>
  </w:style>
  <w:style w:type="paragraph" w:styleId="BalloonText">
    <w:name w:val="Balloon Text"/>
    <w:uiPriority w:val="99"/>
    <w:semiHidden/>
    <w:unhideWhenUsed/>
    <w:link w:val="a6"/>
    <w:rsid w:val="00c74515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9E26978FB237D99CA2E48CD9F6B00093FAD86434FC3176B28672D6K769G" TargetMode="External"/><Relationship Id="rId4" Type="http://schemas.openxmlformats.org/officeDocument/2006/relationships/hyperlink" Target="consultantplus://offline/ref=9E26978FB237D99CA2E48CD9F6B00093FAD86431F76721B0D727D87CB23C4C64FE80D0C02DA257CFK46FG" TargetMode="External"/><Relationship Id="rId5" Type="http://schemas.openxmlformats.org/officeDocument/2006/relationships/hyperlink" Target="consultantplus://offline/ref=2719124726DD627B6BA5C11E9A9CADA6B784C3C15CAD99B97A1CBD8D53407A83AEF1356325E3yDU4J" TargetMode="External"/><Relationship Id="rId6" Type="http://schemas.openxmlformats.org/officeDocument/2006/relationships/hyperlink" Target="consultantplus://offline/ref=78B3E2B3E846CBF2D5240DD716FE91CC643046790023F4EC3B6612221E343355664EAAC265741Ao1J" TargetMode="External"/><Relationship Id="rId7" Type="http://schemas.openxmlformats.org/officeDocument/2006/relationships/hyperlink" Target="consultantplus://offline/ref=9E8B0C66CF3B6FCDE7154447CB4B349511F559FFCA1AB070548C3B7972q412J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2018-02-26T13:12:00Z</dcterms:created>
  <dc:creator>Пользователь</dc:creator>
  <dc:language>ru-RU</dc:language>
  <cp:lastModifiedBy>Пользователь</cp:lastModifiedBy>
  <cp:lastPrinted>2018-03-13T11:41:00Z</cp:lastPrinted>
  <dcterms:modified xsi:type="dcterms:W3CDTF">2018-03-13T11:41:00Z</dcterms:modified>
  <cp:revision>17</cp:revision>
</cp:coreProperties>
</file>