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widowControl/>
        <w:suppressAutoHyphens w:val="false"/>
        <w:jc w:val="center"/>
        <w:rPr>
          <w:rFonts w:eastAsia="Times New Roman" w:cs="Times New Roman"/>
          <w:color w:val="454545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454545"/>
          <w:sz w:val="20"/>
          <w:szCs w:val="20"/>
          <w:lang w:val="ru-RU" w:eastAsia="ru-RU" w:bidi="ar-SA"/>
        </w:rPr>
        <w:t>Сведения</w:t>
      </w:r>
    </w:p>
    <w:p>
      <w:pPr>
        <w:pStyle w:val="Normal"/>
        <w:widowControl/>
        <w:suppressAutoHyphens w:val="false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sz w:val="20"/>
          <w:szCs w:val="20"/>
          <w:lang w:val="ru-RU" w:eastAsia="ru-RU" w:bidi="ar-SA"/>
        </w:rPr>
        <w:t>о доходах,</w:t>
      </w: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 xml:space="preserve"> расходах, об имуществе и обязательствах имущественного характера,</w:t>
      </w:r>
    </w:p>
    <w:p>
      <w:pPr>
        <w:pStyle w:val="Normal"/>
        <w:tabs>
          <w:tab w:val="left" w:pos="10065" w:leader="none"/>
        </w:tabs>
        <w:suppressAutoHyphens w:val="false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представленные депутатами Собрания Представителей сельского поселения Луначарский муниципального  района  Ставропольский Самарской области</w:t>
      </w:r>
    </w:p>
    <w:p>
      <w:pPr>
        <w:pStyle w:val="Normal"/>
        <w:suppressAutoHyphens w:val="false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за отчетный период с 1 января 201</w:t>
      </w: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8</w:t>
      </w: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года по 31 декабря 201</w:t>
      </w: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8</w:t>
      </w: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 xml:space="preserve"> года</w:t>
      </w:r>
    </w:p>
    <w:p>
      <w:pPr>
        <w:pStyle w:val="Normal"/>
        <w:suppressAutoHyphens w:val="false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и подлежащие размещению в информационно-телекоммуникационной сети</w:t>
      </w:r>
    </w:p>
    <w:p>
      <w:pPr>
        <w:pStyle w:val="Normal"/>
        <w:suppressAutoHyphens w:val="false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Интернет на официальном сайте сельского поселения Луначарский муниципального района Ставропольский Самарской области</w:t>
      </w:r>
    </w:p>
    <w:tbl>
      <w:tblPr>
        <w:jc w:val="left"/>
        <w:tblInd w:w="19" w:type="dxa"/>
        <w:tblBorders>
          <w:top w:val="single" w:sz="4" w:space="0" w:color="00000A"/>
          <w:left w:val="single" w:sz="4" w:space="0" w:color="00000A"/>
          <w:bottom w:val="nil"/>
          <w:insideH w:val="nil"/>
          <w:right w:val="single" w:sz="4" w:space="0" w:color="00000A"/>
          <w:insideV w:val="single" w:sz="4" w:space="0" w:color="00000A"/>
        </w:tblBorders>
        <w:tblCellMar>
          <w:top w:w="62" w:type="dxa"/>
          <w:left w:w="92" w:type="dxa"/>
          <w:bottom w:w="102" w:type="dxa"/>
          <w:right w:w="62" w:type="dxa"/>
        </w:tblCellMar>
      </w:tblPr>
      <w:tblGrid>
        <w:gridCol w:w="461"/>
        <w:gridCol w:w="1559"/>
        <w:gridCol w:w="1134"/>
        <w:gridCol w:w="1559"/>
        <w:gridCol w:w="1840"/>
        <w:gridCol w:w="990"/>
        <w:gridCol w:w="851"/>
        <w:gridCol w:w="3"/>
        <w:gridCol w:w="1128"/>
        <w:gridCol w:w="992"/>
        <w:gridCol w:w="849"/>
        <w:gridCol w:w="7"/>
        <w:gridCol w:w="1126"/>
        <w:gridCol w:w="7"/>
        <w:gridCol w:w="1268"/>
        <w:gridCol w:w="7"/>
        <w:gridCol w:w="1552"/>
        <w:gridCol w:w="2027"/>
      </w:tblGrid>
      <w:tr>
        <w:trPr>
          <w:trHeight w:val="698" w:hRule="atLeast"/>
          <w:cantSplit w:val="false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N п/п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Должность</w:t>
            </w:r>
          </w:p>
        </w:tc>
        <w:tc>
          <w:tcPr>
            <w:tcW w:w="524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ind w:left="0" w:right="0" w:firstLine="97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Объекты недвижимости, находящиеся в пользовании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Транспортные средства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Style w:val="Style15"/>
                <w:rFonts w:eastAsia="Calibri" w:cs="Times New Roman"/>
                <w:color w:val="0000FF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Декларированный годовой доход </w:t>
            </w:r>
            <w:hyperlink w:anchor="Par190">
              <w:r>
                <w:rPr>
                  <w:rStyle w:val="Style15"/>
                  <w:rFonts w:eastAsia="Calibri" w:cs="Times New Roman"/>
                  <w:color w:val="0000FF"/>
                  <w:sz w:val="20"/>
                  <w:szCs w:val="20"/>
                  <w:lang w:val="ru-RU" w:bidi="ar-SA"/>
                </w:rPr>
                <w:t>&lt;1&gt;</w:t>
              </w:r>
            </w:hyperlink>
          </w:p>
        </w:tc>
        <w:tc>
          <w:tcPr>
            <w:tcW w:w="3579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Сведения об источниках получения средств, за счет которых совершена сделка </w:t>
            </w:r>
            <w:hyperlink w:anchor="Par191">
              <w:r>
                <w:rPr>
                  <w:rStyle w:val="Style15"/>
                  <w:rFonts w:eastAsia="Calibri" w:cs="Times New Roman"/>
                  <w:color w:val="0000FF"/>
                  <w:sz w:val="20"/>
                  <w:szCs w:val="20"/>
                  <w:lang w:val="ru-RU" w:bidi="ar-SA"/>
                </w:rPr>
                <w:t>&lt;2&gt;</w:t>
              </w:r>
            </w:hyperlink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(вид приобретенного имущества, источники)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4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вид объекта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вид собственности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страна расположения</w:t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площадь (кв. м)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страна расположения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3586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</w:tr>
      <w:tr>
        <w:trPr>
          <w:cantSplit w:val="false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Данилова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Ольга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Николаевна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Квартира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Долевая собственность,     (доля ¼)     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квартира </w:t>
            </w:r>
          </w:p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(индивид.)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36,9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67,0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Квартира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(соцнайм)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31,0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</w:t>
            </w:r>
            <w:r>
              <w:rPr>
                <w:rFonts w:cs="Times New Roman"/>
                <w:sz w:val="20"/>
                <w:szCs w:val="20"/>
                <w:lang w:val="ru-RU"/>
              </w:rPr>
              <w:t>14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ru-RU"/>
              </w:rPr>
              <w:t>875</w:t>
            </w:r>
            <w:r>
              <w:rPr>
                <w:rFonts w:cs="Times New Roman"/>
                <w:sz w:val="20"/>
                <w:szCs w:val="20"/>
                <w:lang w:val="ru-RU"/>
              </w:rPr>
              <w:t>,</w:t>
            </w:r>
            <w:r>
              <w:rPr>
                <w:rFonts w:cs="Times New Roman"/>
                <w:sz w:val="20"/>
                <w:szCs w:val="20"/>
                <w:lang w:val="ru-RU"/>
              </w:rPr>
              <w:t>00</w:t>
            </w:r>
          </w:p>
        </w:tc>
        <w:tc>
          <w:tcPr>
            <w:tcW w:w="35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ru-RU"/>
              </w:rPr>
              <w:t>Долевая собственность,     (доля 1/4)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36,9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Квартира</w:t>
            </w:r>
          </w:p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(соцнайм)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31,0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75" w:type="dxa"/>
              <w:left w:w="0" w:type="dxa"/>
              <w:bottom w:w="75" w:type="dxa"/>
              <w:right w:w="0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Киселева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Татьяна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Ивановна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долевая собственность (доля в праве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265/691)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1142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810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232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177 448,40</w:t>
            </w:r>
          </w:p>
        </w:tc>
        <w:tc>
          <w:tcPr>
            <w:tcW w:w="35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Митрофанова Светлана Владимировна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дом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долевая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собственность (доля 1/4)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долевая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собственность (доля 1/4)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611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611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1505,0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76,2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2 191 061,75</w:t>
            </w:r>
          </w:p>
        </w:tc>
        <w:tc>
          <w:tcPr>
            <w:tcW w:w="35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дом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долевая собственность (доля 1/4)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долевая собственность (доля 1/4)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611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1505,0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76,2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Опель-Мокко, 2004 г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(индивидуальная)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76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000,0</w:t>
            </w:r>
          </w:p>
        </w:tc>
        <w:tc>
          <w:tcPr>
            <w:tcW w:w="35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Морозов 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Дмитрий 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Пе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т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рович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9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совместная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Общая долевая собственность (доля 1/2) 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838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53,4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Мазда Демио,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2005 г.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(индивидуальная)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153 373,60</w:t>
            </w:r>
          </w:p>
        </w:tc>
        <w:tc>
          <w:tcPr>
            <w:tcW w:w="35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совместная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долевая собственность (доля 1/2)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838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53,4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388 745,97</w:t>
            </w:r>
          </w:p>
        </w:tc>
        <w:tc>
          <w:tcPr>
            <w:tcW w:w="35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Квартира.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(бессрочное)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(бессрочное)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53,4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838,0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РФ 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35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trHeight w:val="2859" w:hRule="atLeast"/>
          <w:cantSplit w:val="false"/>
        </w:trPr>
        <w:tc>
          <w:tcPr>
            <w:tcW w:w="46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Квартира.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(бессрочное)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(бессрочное)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53,4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838,0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35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Наумов Андрей Викторович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садовый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794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612,0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дом.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пользование, бессрочное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159,9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1 615 461,57</w:t>
            </w:r>
          </w:p>
          <w:p>
            <w:pPr>
              <w:pStyle w:val="Normal"/>
              <w:suppressAutoHyphens w:val="false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35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880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дом.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159,9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180 165,98</w:t>
            </w:r>
          </w:p>
        </w:tc>
        <w:tc>
          <w:tcPr>
            <w:tcW w:w="35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Ускова Татьяна Григорьевна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 (пай)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долевая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(доля 1/3)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Единое землепользование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Долевая собственность (доля 1/3)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Долевая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(доля 1/2)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1560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1478,0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6529,6 га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58,8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41,7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Лада Калина 111930, 2008 г.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(индивидуальная)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688 349,01</w:t>
            </w:r>
          </w:p>
        </w:tc>
        <w:tc>
          <w:tcPr>
            <w:tcW w:w="35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7.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Уютова Светлана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Николаевна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10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Долевая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Долевая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(доля 1/5)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совместная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1500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74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34,6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дом.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120,0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562 583,76</w:t>
            </w:r>
          </w:p>
        </w:tc>
        <w:tc>
          <w:tcPr>
            <w:tcW w:w="35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Долевая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Долевая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(доля 1/5)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Общая совместная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1500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1500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74,0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34,6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РФ</w:t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  <w:tc>
          <w:tcPr>
            <w:tcW w:w="11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Лада Гранта 219010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(индивидуальная)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bidi="ar-SA"/>
              </w:rPr>
              <w:t>Ford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color w:val="00000A"/>
                <w:sz w:val="20"/>
                <w:szCs w:val="20"/>
                <w:lang w:bidi="ar-SA"/>
              </w:rPr>
              <w:t>Fusion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(индивидуальная)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bidi="ar-SA"/>
              </w:rPr>
              <w:t>Mitsubishi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color w:val="00000A"/>
                <w:sz w:val="20"/>
                <w:szCs w:val="20"/>
                <w:lang w:bidi="ar-SA"/>
              </w:rPr>
              <w:t>ASX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(индивидуальная)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ГАЗ 3302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(индивидуальная)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450 000,00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35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---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Вальтер 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Артур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Владимирович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Депутат, округ № 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</w:t>
            </w:r>
          </w:p>
        </w:tc>
        <w:tc>
          <w:tcPr>
            <w:tcW w:w="184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Единое землепользование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(общая долевая 1/1166)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56000,0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1640,0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139,2</w:t>
            </w:r>
          </w:p>
        </w:tc>
        <w:tc>
          <w:tcPr>
            <w:tcW w:w="85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РФ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84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PEHO 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LOGAN, 2015 </w:t>
            </w:r>
            <w:r>
              <w:rPr>
                <w:sz w:val="20"/>
                <w:szCs w:val="20"/>
                <w:lang w:val="ru-RU"/>
              </w:rPr>
              <w:t>г.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417 183,71</w:t>
            </w:r>
          </w:p>
        </w:tc>
        <w:tc>
          <w:tcPr>
            <w:tcW w:w="3586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супруга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</w:tc>
        <w:tc>
          <w:tcPr>
            <w:tcW w:w="184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Индивидуальная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99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875,0</w:t>
            </w:r>
          </w:p>
        </w:tc>
        <w:tc>
          <w:tcPr>
            <w:tcW w:w="85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РФ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139,2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1640,0</w:t>
            </w:r>
          </w:p>
        </w:tc>
        <w:tc>
          <w:tcPr>
            <w:tcW w:w="84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РФ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ВАЗ 211440, 2010 г.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ВАЗ 21140, 2005 г.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364 236,05</w:t>
            </w:r>
          </w:p>
        </w:tc>
        <w:tc>
          <w:tcPr>
            <w:tcW w:w="3586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184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99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85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Жилой дом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bookmarkStart w:id="0" w:name="__DdeLink__939_652199473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bookmarkStart w:id="1" w:name="__DdeLink__939_652199473"/>
            <w:bookmarkEnd w:id="1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139,2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1640,0</w:t>
            </w:r>
          </w:p>
        </w:tc>
        <w:tc>
          <w:tcPr>
            <w:tcW w:w="84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РФ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3586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Азязова 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Ольга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Васильевна 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Депутат, округ № 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</w:t>
            </w:r>
          </w:p>
        </w:tc>
        <w:tc>
          <w:tcPr>
            <w:tcW w:w="184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Общая совместная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собственность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Долевая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(доля 1/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3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)</w:t>
            </w:r>
          </w:p>
        </w:tc>
        <w:tc>
          <w:tcPr>
            <w:tcW w:w="99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1000,0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53,3</w:t>
            </w:r>
          </w:p>
        </w:tc>
        <w:tc>
          <w:tcPr>
            <w:tcW w:w="85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РФ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84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lang w:val="ru-RU"/>
              </w:rPr>
            </w:pPr>
            <w:r>
              <w:rPr>
                <w:lang w:val="ru-RU"/>
              </w:rPr>
              <w:t>309727,76</w:t>
            </w:r>
          </w:p>
        </w:tc>
        <w:tc>
          <w:tcPr>
            <w:tcW w:w="3586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супруг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земельный участок</w:t>
            </w:r>
          </w:p>
          <w:p>
            <w:pPr>
              <w:pStyle w:val="Normal"/>
              <w:suppressAutoHyphens w:val="false"/>
              <w:jc w:val="center"/>
              <w:rPr/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</w:t>
            </w:r>
          </w:p>
        </w:tc>
        <w:tc>
          <w:tcPr>
            <w:tcW w:w="184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Общая совместная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собственность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Долевая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(доля 1/3)</w:t>
            </w:r>
          </w:p>
        </w:tc>
        <w:tc>
          <w:tcPr>
            <w:tcW w:w="99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1000,0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53,3</w:t>
            </w:r>
          </w:p>
        </w:tc>
        <w:tc>
          <w:tcPr>
            <w:tcW w:w="85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РФ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84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lang w:val="ru-RU"/>
              </w:rPr>
            </w:pPr>
            <w:r>
              <w:rPr>
                <w:lang w:val="ru-RU"/>
              </w:rPr>
              <w:t>--</w:t>
            </w:r>
          </w:p>
        </w:tc>
        <w:tc>
          <w:tcPr>
            <w:tcW w:w="3586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</w:t>
            </w:r>
          </w:p>
        </w:tc>
        <w:tc>
          <w:tcPr>
            <w:tcW w:w="184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Долевая собственность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(доля 1/3)</w:t>
            </w:r>
          </w:p>
        </w:tc>
        <w:tc>
          <w:tcPr>
            <w:tcW w:w="99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53,3</w:t>
            </w:r>
          </w:p>
        </w:tc>
        <w:tc>
          <w:tcPr>
            <w:tcW w:w="85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РФ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84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lang w:val="ru-RU"/>
              </w:rPr>
            </w:pPr>
            <w:r>
              <w:rPr>
                <w:lang w:val="ru-RU"/>
              </w:rPr>
              <w:t>--</w:t>
            </w:r>
          </w:p>
        </w:tc>
        <w:tc>
          <w:tcPr>
            <w:tcW w:w="3586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</w:tr>
      <w:tr>
        <w:trPr>
          <w:cantSplit w:val="false"/>
        </w:trPr>
        <w:tc>
          <w:tcPr>
            <w:tcW w:w="46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184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--</w:t>
            </w:r>
          </w:p>
        </w:tc>
        <w:tc>
          <w:tcPr>
            <w:tcW w:w="99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--</w:t>
            </w:r>
          </w:p>
        </w:tc>
        <w:tc>
          <w:tcPr>
            <w:tcW w:w="85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--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квартира</w:t>
            </w:r>
          </w:p>
          <w:p>
            <w:pPr>
              <w:pStyle w:val="Normal"/>
              <w:suppressAutoHyphens w:val="false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Безвозмездное пользование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53,3</w:t>
            </w:r>
          </w:p>
        </w:tc>
        <w:tc>
          <w:tcPr>
            <w:tcW w:w="84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РФ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>
                <w:lang w:val="ru-RU"/>
              </w:rPr>
            </w:pPr>
            <w:r>
              <w:rPr>
                <w:lang w:val="ru-RU"/>
              </w:rPr>
              <w:t>--</w:t>
            </w:r>
          </w:p>
        </w:tc>
        <w:tc>
          <w:tcPr>
            <w:tcW w:w="3586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--</w:t>
            </w:r>
          </w:p>
        </w:tc>
      </w:tr>
    </w:tbl>
    <w:p>
      <w:pPr>
        <w:pStyle w:val="Normal"/>
        <w:suppressAutoHyphens w:val="false"/>
        <w:jc w:val="center"/>
        <w:rPr>
          <w:rFonts w:eastAsia="Calibri" w:cs="Times New Roman"/>
          <w:color w:val="00000A"/>
          <w:sz w:val="20"/>
          <w:szCs w:val="20"/>
          <w:lang w:val="ru-RU" w:bidi="ar-SA"/>
        </w:rPr>
      </w:pPr>
      <w:r>
        <w:rPr>
          <w:rFonts w:eastAsia="Calibri" w:cs="Times New Roman"/>
          <w:color w:val="00000A"/>
          <w:sz w:val="20"/>
          <w:szCs w:val="20"/>
          <w:lang w:val="ru-RU" w:bidi="ar-SA"/>
        </w:rPr>
      </w:r>
    </w:p>
    <w:p>
      <w:pPr>
        <w:pStyle w:val="Normal"/>
        <w:suppressAutoHyphens w:val="false"/>
        <w:jc w:val="center"/>
        <w:rPr>
          <w:rFonts w:eastAsia="Calibri" w:cs="Times New Roman"/>
          <w:color w:val="00000A"/>
          <w:sz w:val="20"/>
          <w:szCs w:val="20"/>
          <w:lang w:val="ru-RU" w:bidi="ar-SA"/>
        </w:rPr>
      </w:pPr>
      <w:r>
        <w:rPr>
          <w:rFonts w:eastAsia="Calibri" w:cs="Times New Roman"/>
          <w:color w:val="00000A"/>
          <w:sz w:val="20"/>
          <w:szCs w:val="20"/>
          <w:lang w:val="ru-RU" w:bidi="ar-SA"/>
        </w:rPr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426" w:footer="0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4b177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 Unicode MS" w:cs="Tahoma"/>
      <w:color w:val="000000"/>
      <w:sz w:val="24"/>
      <w:szCs w:val="24"/>
      <w:lang w:val="en-US" w:eastAsia="en-US" w:bidi="en-US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Текст выноски Знак"/>
    <w:uiPriority w:val="99"/>
    <w:semiHidden/>
    <w:link w:val="a5"/>
    <w:rsid w:val="00267eb1"/>
    <w:basedOn w:val="DefaultParagraphFont"/>
    <w:rPr>
      <w:rFonts w:ascii="Tahoma" w:hAnsi="Tahoma" w:eastAsia="Arial Unicode MS" w:cs="Tahoma"/>
      <w:color w:val="000000"/>
      <w:sz w:val="16"/>
      <w:szCs w:val="16"/>
      <w:lang w:val="en-US" w:bidi="en-US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ef72bb"/>
    <w:basedOn w:val="Normal"/>
    <w:pPr>
      <w:spacing w:before="0" w:after="0"/>
      <w:ind w:left="720" w:right="0" w:hanging="0"/>
      <w:contextualSpacing/>
    </w:pPr>
    <w:rPr/>
  </w:style>
  <w:style w:type="paragraph" w:styleId="BalloonText">
    <w:name w:val="Balloon Text"/>
    <w:uiPriority w:val="99"/>
    <w:semiHidden/>
    <w:unhideWhenUsed/>
    <w:link w:val="a6"/>
    <w:rsid w:val="00267eb1"/>
    <w:basedOn w:val="Normal"/>
    <w:pPr/>
    <w:rPr>
      <w:rFonts w:ascii="Tahoma" w:hAnsi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b1771"/>
    <w:pPr>
      <w:spacing w:line="240" w:lineRule="auto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2018-04-16T11:41:00Z</dcterms:created>
  <dc:creator>Пользователь</dc:creator>
  <dc:language>ru-RU</dc:language>
  <cp:lastModifiedBy>Пользователь</cp:lastModifiedBy>
  <cp:lastPrinted>2018-04-19T11:34:28Z</cp:lastPrinted>
  <dcterms:modified xsi:type="dcterms:W3CDTF">2018-04-19T07:33:00Z</dcterms:modified>
  <cp:revision>13</cp:revision>
</cp:coreProperties>
</file>